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before="0" w:line="480" w:lineRule="auto"/>
        <w:contextualSpacing w:val="0"/>
        <w:jc w:val="center"/>
      </w:pPr>
      <w:bookmarkStart w:colFirst="0" w:colLast="0" w:name="h.lc2dv0g5b6lh" w:id="0"/>
      <w:bookmarkEnd w:id="0"/>
      <w:r w:rsidDel="00000000" w:rsidR="00000000" w:rsidRPr="00000000">
        <w:rPr>
          <w:rFonts w:ascii="SimSun" w:cs="SimSun" w:eastAsia="SimSun" w:hAnsi="SimSun"/>
          <w:b w:val="1"/>
          <w:color w:val="457ec5"/>
          <w:sz w:val="28"/>
          <w:szCs w:val="28"/>
          <w:highlight w:val="white"/>
          <w:rtl w:val="0"/>
        </w:rPr>
        <w:t xml:space="preserve">海关总署公告2015年第24号（关于规范通关无纸化电子支付税款问题的公告）</w:t>
      </w:r>
    </w:p>
    <w:p w:rsidR="00000000" w:rsidDel="00000000" w:rsidP="00000000" w:rsidRDefault="00000000" w:rsidRPr="00000000">
      <w:pPr>
        <w:spacing w:after="160" w:line="490.90909090909093" w:lineRule="auto"/>
        <w:contextualSpacing w:val="0"/>
        <w:jc w:val="center"/>
      </w:pPr>
      <w:r w:rsidDel="00000000" w:rsidR="00000000" w:rsidRPr="00000000">
        <w:rPr>
          <w:rFonts w:ascii="SimSun" w:cs="SimSun" w:eastAsia="SimSun" w:hAnsi="SimSun"/>
          <w:b w:val="1"/>
          <w:color w:val="515151"/>
          <w:sz w:val="18"/>
          <w:szCs w:val="18"/>
          <w:highlight w:val="white"/>
          <w:rtl w:val="0"/>
        </w:rPr>
        <w:t xml:space="preserve">发布时间：2015-06-03</w:t>
      </w:r>
    </w:p>
    <w:tbl>
      <w:tblPr>
        <w:tblStyle w:val="Table1"/>
        <w:bidi w:val="0"/>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96.77550795661"/>
        <w:gridCol w:w="4228.736303067012"/>
        <w:tblGridChange w:id="0">
          <w:tblGrid>
            <w:gridCol w:w="4796.77550795661"/>
            <w:gridCol w:w="4228.736303067012"/>
          </w:tblGrid>
        </w:tblGridChange>
      </w:tblGrid>
      <w:tr>
        <w:tc>
          <w:tcPr>
            <w:tcMar>
              <w:top w:w="100.0" w:type="dxa"/>
              <w:left w:w="100.0" w:type="dxa"/>
              <w:bottom w:w="100.0" w:type="dxa"/>
              <w:right w:w="100.0" w:type="dxa"/>
            </w:tcMar>
          </w:tcPr>
          <w:p w:rsidR="00000000" w:rsidDel="00000000" w:rsidP="00000000" w:rsidRDefault="00000000" w:rsidRPr="00000000">
            <w:pPr>
              <w:spacing w:line="480" w:lineRule="auto"/>
              <w:contextualSpacing w:val="0"/>
            </w:pPr>
            <w:r w:rsidDel="00000000" w:rsidR="00000000" w:rsidRPr="00000000">
              <w:rPr>
                <w:rFonts w:ascii="Arial Unicode MS" w:cs="Arial Unicode MS" w:eastAsia="Arial Unicode MS" w:hAnsi="Arial Unicode MS"/>
                <w:color w:val="ff0000"/>
                <w:sz w:val="18"/>
                <w:szCs w:val="18"/>
                <w:highlight w:val="white"/>
                <w:rtl w:val="0"/>
              </w:rPr>
              <w:t xml:space="preserve">【法规类型】</w:t>
            </w:r>
            <w:r w:rsidDel="00000000" w:rsidR="00000000" w:rsidRPr="00000000">
              <w:rPr>
                <w:rFonts w:ascii="SimSun" w:cs="SimSun" w:eastAsia="SimSun" w:hAnsi="SimSun"/>
                <w:sz w:val="18"/>
                <w:szCs w:val="18"/>
                <w:highlight w:val="white"/>
                <w:rtl w:val="0"/>
              </w:rPr>
              <w:t xml:space="preserve">海关规范性文件</w:t>
            </w:r>
          </w:p>
        </w:tc>
        <w:tc>
          <w:tcPr>
            <w:tcMar>
              <w:top w:w="100.0" w:type="dxa"/>
              <w:left w:w="100.0" w:type="dxa"/>
              <w:bottom w:w="100.0" w:type="dxa"/>
              <w:right w:w="100.0" w:type="dxa"/>
            </w:tcMar>
          </w:tcPr>
          <w:p w:rsidR="00000000" w:rsidDel="00000000" w:rsidP="00000000" w:rsidRDefault="00000000" w:rsidRPr="00000000">
            <w:pPr>
              <w:spacing w:line="480" w:lineRule="auto"/>
              <w:contextualSpacing w:val="0"/>
            </w:pPr>
            <w:r w:rsidDel="00000000" w:rsidR="00000000" w:rsidRPr="00000000">
              <w:rPr>
                <w:rFonts w:ascii="Arial Unicode MS" w:cs="Arial Unicode MS" w:eastAsia="Arial Unicode MS" w:hAnsi="Arial Unicode MS"/>
                <w:color w:val="ff0000"/>
                <w:sz w:val="18"/>
                <w:szCs w:val="18"/>
                <w:highlight w:val="white"/>
                <w:rtl w:val="0"/>
              </w:rPr>
              <w:t xml:space="preserve">【内容类别】</w:t>
            </w:r>
            <w:r w:rsidDel="00000000" w:rsidR="00000000" w:rsidRPr="00000000">
              <w:rPr>
                <w:rFonts w:ascii="SimSun" w:cs="SimSun" w:eastAsia="SimSun" w:hAnsi="SimSun"/>
                <w:sz w:val="18"/>
                <w:szCs w:val="18"/>
                <w:highlight w:val="white"/>
                <w:rtl w:val="0"/>
              </w:rPr>
              <w:t xml:space="preserve">关税征收管理类</w:t>
            </w:r>
          </w:p>
        </w:tc>
      </w:tr>
      <w:tr>
        <w:tc>
          <w:tcPr>
            <w:tcMar>
              <w:top w:w="100.0" w:type="dxa"/>
              <w:left w:w="100.0" w:type="dxa"/>
              <w:bottom w:w="100.0" w:type="dxa"/>
              <w:right w:w="100.0" w:type="dxa"/>
            </w:tcMar>
          </w:tcPr>
          <w:p w:rsidR="00000000" w:rsidDel="00000000" w:rsidP="00000000" w:rsidRDefault="00000000" w:rsidRPr="00000000">
            <w:pPr>
              <w:spacing w:line="480" w:lineRule="auto"/>
              <w:contextualSpacing w:val="0"/>
            </w:pPr>
            <w:r w:rsidDel="00000000" w:rsidR="00000000" w:rsidRPr="00000000">
              <w:rPr>
                <w:rFonts w:ascii="Arial Unicode MS" w:cs="Arial Unicode MS" w:eastAsia="Arial Unicode MS" w:hAnsi="Arial Unicode MS"/>
                <w:color w:val="ff0000"/>
                <w:sz w:val="18"/>
                <w:szCs w:val="18"/>
                <w:highlight w:val="white"/>
                <w:rtl w:val="0"/>
              </w:rPr>
              <w:t xml:space="preserve">【文　　号】</w:t>
            </w:r>
            <w:r w:rsidDel="00000000" w:rsidR="00000000" w:rsidRPr="00000000">
              <w:rPr>
                <w:rFonts w:ascii="SimSun" w:cs="SimSun" w:eastAsia="SimSun" w:hAnsi="SimSun"/>
                <w:sz w:val="18"/>
                <w:szCs w:val="18"/>
                <w:highlight w:val="white"/>
                <w:rtl w:val="0"/>
              </w:rPr>
              <w:t xml:space="preserve">公告〔2015〕24 号</w:t>
            </w:r>
          </w:p>
        </w:tc>
        <w:tc>
          <w:tcPr>
            <w:tcMar>
              <w:top w:w="100.0" w:type="dxa"/>
              <w:left w:w="100.0" w:type="dxa"/>
              <w:bottom w:w="100.0" w:type="dxa"/>
              <w:right w:w="100.0" w:type="dxa"/>
            </w:tcMar>
          </w:tcPr>
          <w:p w:rsidR="00000000" w:rsidDel="00000000" w:rsidP="00000000" w:rsidRDefault="00000000" w:rsidRPr="00000000">
            <w:pPr>
              <w:spacing w:line="480" w:lineRule="auto"/>
              <w:contextualSpacing w:val="0"/>
            </w:pPr>
            <w:r w:rsidDel="00000000" w:rsidR="00000000" w:rsidRPr="00000000">
              <w:rPr>
                <w:rFonts w:ascii="Arial Unicode MS" w:cs="Arial Unicode MS" w:eastAsia="Arial Unicode MS" w:hAnsi="Arial Unicode MS"/>
                <w:color w:val="ff0000"/>
                <w:sz w:val="18"/>
                <w:szCs w:val="18"/>
                <w:highlight w:val="white"/>
                <w:rtl w:val="0"/>
              </w:rPr>
              <w:t xml:space="preserve">【发文机关】</w:t>
            </w:r>
            <w:r w:rsidDel="00000000" w:rsidR="00000000" w:rsidRPr="00000000">
              <w:rPr>
                <w:rFonts w:ascii="SimSun" w:cs="SimSun" w:eastAsia="SimSun" w:hAnsi="SimSun"/>
                <w:sz w:val="18"/>
                <w:szCs w:val="18"/>
                <w:highlight w:val="white"/>
                <w:rtl w:val="0"/>
              </w:rPr>
              <w:t xml:space="preserve">海关总署</w:t>
            </w:r>
          </w:p>
        </w:tc>
      </w:tr>
      <w:tr>
        <w:tc>
          <w:tcPr>
            <w:tcMar>
              <w:top w:w="100.0" w:type="dxa"/>
              <w:left w:w="100.0" w:type="dxa"/>
              <w:bottom w:w="100.0" w:type="dxa"/>
              <w:right w:w="100.0" w:type="dxa"/>
            </w:tcMar>
          </w:tcPr>
          <w:p w:rsidR="00000000" w:rsidDel="00000000" w:rsidP="00000000" w:rsidRDefault="00000000" w:rsidRPr="00000000">
            <w:pPr>
              <w:spacing w:line="480" w:lineRule="auto"/>
              <w:contextualSpacing w:val="0"/>
            </w:pPr>
            <w:r w:rsidDel="00000000" w:rsidR="00000000" w:rsidRPr="00000000">
              <w:rPr>
                <w:rFonts w:ascii="Arial Unicode MS" w:cs="Arial Unicode MS" w:eastAsia="Arial Unicode MS" w:hAnsi="Arial Unicode MS"/>
                <w:color w:val="ff0000"/>
                <w:sz w:val="18"/>
                <w:szCs w:val="18"/>
                <w:highlight w:val="white"/>
                <w:rtl w:val="0"/>
              </w:rPr>
              <w:t xml:space="preserve">【发布日期】</w:t>
            </w:r>
            <w:r w:rsidDel="00000000" w:rsidR="00000000" w:rsidRPr="00000000">
              <w:rPr>
                <w:sz w:val="18"/>
                <w:szCs w:val="18"/>
                <w:highlight w:val="white"/>
                <w:rtl w:val="0"/>
              </w:rPr>
              <w:t xml:space="preserve">2015-6-3</w:t>
            </w:r>
          </w:p>
        </w:tc>
        <w:tc>
          <w:tcPr>
            <w:tcMar>
              <w:top w:w="100.0" w:type="dxa"/>
              <w:left w:w="100.0" w:type="dxa"/>
              <w:bottom w:w="100.0" w:type="dxa"/>
              <w:right w:w="100.0" w:type="dxa"/>
            </w:tcMar>
          </w:tcPr>
          <w:p w:rsidR="00000000" w:rsidDel="00000000" w:rsidP="00000000" w:rsidRDefault="00000000" w:rsidRPr="00000000">
            <w:pPr>
              <w:spacing w:line="480" w:lineRule="auto"/>
              <w:contextualSpacing w:val="0"/>
            </w:pPr>
            <w:r w:rsidDel="00000000" w:rsidR="00000000" w:rsidRPr="00000000">
              <w:rPr>
                <w:rFonts w:ascii="Arial Unicode MS" w:cs="Arial Unicode MS" w:eastAsia="Arial Unicode MS" w:hAnsi="Arial Unicode MS"/>
                <w:color w:val="ff0000"/>
                <w:sz w:val="18"/>
                <w:szCs w:val="18"/>
                <w:highlight w:val="white"/>
                <w:rtl w:val="0"/>
              </w:rPr>
              <w:t xml:space="preserve">【生效日期】</w:t>
            </w:r>
            <w:r w:rsidDel="00000000" w:rsidR="00000000" w:rsidRPr="00000000">
              <w:rPr>
                <w:sz w:val="18"/>
                <w:szCs w:val="18"/>
                <w:highlight w:val="white"/>
                <w:rtl w:val="0"/>
              </w:rPr>
              <w:t xml:space="preserve">2015-6-3</w:t>
            </w:r>
          </w:p>
        </w:tc>
      </w:tr>
      <w:tr>
        <w:tc>
          <w:tcPr>
            <w:tcMar>
              <w:top w:w="100.0" w:type="dxa"/>
              <w:left w:w="100.0" w:type="dxa"/>
              <w:bottom w:w="100.0" w:type="dxa"/>
              <w:right w:w="100.0" w:type="dxa"/>
            </w:tcMar>
          </w:tcPr>
          <w:p w:rsidR="00000000" w:rsidDel="00000000" w:rsidP="00000000" w:rsidRDefault="00000000" w:rsidRPr="00000000">
            <w:pPr>
              <w:spacing w:line="480" w:lineRule="auto"/>
              <w:contextualSpacing w:val="0"/>
            </w:pPr>
            <w:r w:rsidDel="00000000" w:rsidR="00000000" w:rsidRPr="00000000">
              <w:rPr>
                <w:rFonts w:ascii="Arial Unicode MS" w:cs="Arial Unicode MS" w:eastAsia="Arial Unicode MS" w:hAnsi="Arial Unicode MS"/>
                <w:color w:val="ff0000"/>
                <w:sz w:val="18"/>
                <w:szCs w:val="18"/>
                <w:highlight w:val="white"/>
                <w:rtl w:val="0"/>
              </w:rPr>
              <w:t xml:space="preserve">【效　　力】</w:t>
            </w:r>
            <w:r w:rsidDel="00000000" w:rsidR="00000000" w:rsidRPr="00000000">
              <w:rPr>
                <w:rFonts w:ascii="SimSun" w:cs="SimSun" w:eastAsia="SimSun" w:hAnsi="SimSun"/>
                <w:sz w:val="18"/>
                <w:szCs w:val="18"/>
                <w:highlight w:val="white"/>
                <w:rtl w:val="0"/>
              </w:rPr>
              <w:t xml:space="preserve">[有效]</w:t>
            </w:r>
          </w:p>
        </w:tc>
        <w:tc>
          <w:tcPr>
            <w:tcMar>
              <w:top w:w="100.0" w:type="dxa"/>
              <w:left w:w="100.0" w:type="dxa"/>
              <w:bottom w:w="100.0" w:type="dxa"/>
              <w:right w:w="100.0" w:type="dxa"/>
            </w:tcMar>
          </w:tcPr>
          <w:p w:rsidR="00000000" w:rsidDel="00000000" w:rsidP="00000000" w:rsidRDefault="00000000" w:rsidRPr="00000000">
            <w:pPr>
              <w:spacing w:line="48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480" w:lineRule="auto"/>
              <w:contextualSpacing w:val="0"/>
            </w:pPr>
            <w:r w:rsidDel="00000000" w:rsidR="00000000" w:rsidRPr="00000000">
              <w:rPr>
                <w:rFonts w:ascii="Arial Unicode MS" w:cs="Arial Unicode MS" w:eastAsia="Arial Unicode MS" w:hAnsi="Arial Unicode MS"/>
                <w:color w:val="ff0000"/>
                <w:sz w:val="18"/>
                <w:szCs w:val="18"/>
                <w:highlight w:val="white"/>
                <w:rtl w:val="0"/>
              </w:rPr>
              <w:t xml:space="preserve">【效力说明】</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480" w:lineRule="auto"/>
              <w:contextualSpacing w:val="0"/>
            </w:pPr>
            <w:r w:rsidDel="00000000" w:rsidR="00000000" w:rsidRPr="00000000">
              <w:rPr>
                <w:rtl w:val="0"/>
              </w:rPr>
            </w:r>
          </w:p>
        </w:tc>
      </w:tr>
    </w:tbl>
    <w:p w:rsidR="00000000" w:rsidDel="00000000" w:rsidP="00000000" w:rsidRDefault="00000000" w:rsidRPr="00000000">
      <w:pPr>
        <w:spacing w:line="480" w:lineRule="auto"/>
        <w:contextualSpacing w:val="0"/>
      </w:pPr>
      <w:r w:rsidDel="00000000" w:rsidR="00000000" w:rsidRPr="00000000">
        <w:rPr>
          <w:rFonts w:ascii="SimSun" w:cs="SimSun" w:eastAsia="SimSun" w:hAnsi="SimSun"/>
          <w:sz w:val="18"/>
          <w:szCs w:val="18"/>
          <w:highlight w:val="white"/>
          <w:rtl w:val="0"/>
        </w:rPr>
        <w:t xml:space="preserve">    </w:t>
        <w:tab/>
        <w:t xml:space="preserve">为规范通关无纸化改革中电子支付缴税业务，保障国家税款及时入库，现将有关事项公告如下：</w:t>
      </w:r>
    </w:p>
    <w:p w:rsidR="00000000" w:rsidDel="00000000" w:rsidP="00000000" w:rsidRDefault="00000000" w:rsidRPr="00000000">
      <w:pPr>
        <w:spacing w:line="480" w:lineRule="auto"/>
        <w:contextualSpacing w:val="0"/>
      </w:pPr>
      <w:r w:rsidDel="00000000" w:rsidR="00000000" w:rsidRPr="00000000">
        <w:rPr>
          <w:rFonts w:ascii="SimSun" w:cs="SimSun" w:eastAsia="SimSun" w:hAnsi="SimSun"/>
          <w:sz w:val="18"/>
          <w:szCs w:val="18"/>
          <w:highlight w:val="white"/>
          <w:rtl w:val="0"/>
        </w:rPr>
        <w:t xml:space="preserve">        除另有规定外，在通关无纸化模式下，参与税费电子支付业务的进出口企业应在海关审结报关单生成电子税款信息之日起10日内，通过第三方支付平台向商业银行发送税款预扣指令。未在规定期限内发送预扣指令的，将直接转为柜台支付，海关填发税款缴款书。企业应当按照《中华人民共和国海关法》第六十条规定，自海关填发税款缴款书之日起15日内缴纳税款；逾期缴纳的，海关征收滞纳金。</w:t>
      </w:r>
    </w:p>
    <w:p w:rsidR="00000000" w:rsidDel="00000000" w:rsidP="00000000" w:rsidRDefault="00000000" w:rsidRPr="00000000">
      <w:pPr>
        <w:spacing w:line="480" w:lineRule="auto"/>
        <w:contextualSpacing w:val="0"/>
      </w:pPr>
      <w:r w:rsidDel="00000000" w:rsidR="00000000" w:rsidRPr="00000000">
        <w:rPr>
          <w:rFonts w:ascii="SimSun" w:cs="SimSun" w:eastAsia="SimSun" w:hAnsi="SimSun"/>
          <w:sz w:val="18"/>
          <w:szCs w:val="18"/>
          <w:highlight w:val="white"/>
          <w:rtl w:val="0"/>
        </w:rPr>
        <w:t xml:space="preserve"> </w:t>
        <w:tab/>
        <w:t xml:space="preserve">本公告自发布之日起执行。</w:t>
      </w:r>
    </w:p>
    <w:p w:rsidR="00000000" w:rsidDel="00000000" w:rsidP="00000000" w:rsidRDefault="00000000" w:rsidRPr="00000000">
      <w:pPr>
        <w:spacing w:line="480" w:lineRule="auto"/>
        <w:contextualSpacing w:val="0"/>
      </w:pPr>
      <w:r w:rsidDel="00000000" w:rsidR="00000000" w:rsidRPr="00000000">
        <w:rPr>
          <w:rFonts w:ascii="SimSun" w:cs="SimSun" w:eastAsia="SimSun" w:hAnsi="SimSun"/>
          <w:sz w:val="18"/>
          <w:szCs w:val="18"/>
          <w:highlight w:val="white"/>
          <w:rtl w:val="0"/>
        </w:rPr>
        <w:t xml:space="preserve"> </w:t>
        <w:tab/>
        <w:t xml:space="preserve">特此公告。</w:t>
      </w:r>
    </w:p>
    <w:p w:rsidR="00000000" w:rsidDel="00000000" w:rsidP="00000000" w:rsidRDefault="00000000" w:rsidRPr="00000000">
      <w:pPr>
        <w:spacing w:line="480" w:lineRule="auto"/>
        <w:contextualSpacing w:val="0"/>
      </w:pPr>
      <w:r w:rsidDel="00000000" w:rsidR="00000000" w:rsidRPr="00000000">
        <w:rPr>
          <w:sz w:val="18"/>
          <w:szCs w:val="18"/>
          <w:highlight w:val="white"/>
          <w:rtl w:val="0"/>
        </w:rPr>
        <w:t xml:space="preserve"> </w:t>
      </w:r>
    </w:p>
    <w:p w:rsidR="00000000" w:rsidDel="00000000" w:rsidP="00000000" w:rsidRDefault="00000000" w:rsidRPr="00000000">
      <w:pPr>
        <w:spacing w:line="480" w:lineRule="auto"/>
        <w:contextualSpacing w:val="0"/>
      </w:pPr>
      <w:r w:rsidDel="00000000" w:rsidR="00000000" w:rsidRPr="00000000">
        <w:rPr>
          <w:rFonts w:ascii="SimSun" w:cs="SimSun" w:eastAsia="SimSun" w:hAnsi="SimSun"/>
          <w:sz w:val="18"/>
          <w:szCs w:val="18"/>
          <w:highlight w:val="white"/>
          <w:rtl w:val="0"/>
        </w:rPr>
        <w:t xml:space="preserve">                                                                                                                                                                              海关总署</w:t>
      </w:r>
    </w:p>
    <w:p w:rsidR="00000000" w:rsidDel="00000000" w:rsidP="00000000" w:rsidRDefault="00000000" w:rsidRPr="00000000">
      <w:pPr>
        <w:spacing w:line="480" w:lineRule="auto"/>
        <w:contextualSpacing w:val="0"/>
      </w:pPr>
      <w:r w:rsidDel="00000000" w:rsidR="00000000" w:rsidRPr="00000000">
        <w:rPr>
          <w:rFonts w:ascii="SimSun" w:cs="SimSun" w:eastAsia="SimSun" w:hAnsi="SimSun"/>
          <w:sz w:val="18"/>
          <w:szCs w:val="18"/>
          <w:highlight w:val="white"/>
          <w:rtl w:val="0"/>
        </w:rPr>
        <w:t xml:space="preserve">                                                                                                                                                                        2015年6月3日</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SimSu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